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350"/>
      </w:tblGrid>
      <w:tr w:rsidR="00327363" w:rsidTr="006C1322">
        <w:tblPrEx>
          <w:tblCellMar>
            <w:top w:w="0" w:type="dxa"/>
            <w:bottom w:w="0" w:type="dxa"/>
          </w:tblCellMar>
        </w:tblPrEx>
        <w:trPr>
          <w:trHeight w:val="13791"/>
        </w:trPr>
        <w:tc>
          <w:tcPr>
            <w:tcW w:w="9350" w:type="dxa"/>
          </w:tcPr>
          <w:p w:rsidR="00327363" w:rsidRDefault="00327363" w:rsidP="006C1322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327363" w:rsidRDefault="00327363" w:rsidP="006C1322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327363" w:rsidRDefault="00327363" w:rsidP="006C1322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327363" w:rsidRDefault="00327363" w:rsidP="006C1322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327363" w:rsidRDefault="00327363" w:rsidP="006C1322">
            <w:r>
              <w:rPr>
                <w:b/>
              </w:rPr>
              <w:t xml:space="preserve">     </w:t>
            </w:r>
            <w:r>
              <w:rPr>
                <w:noProof/>
                <w:szCs w:val="24"/>
              </w:rPr>
              <w:drawing>
                <wp:inline distT="0" distB="0" distL="0" distR="0">
                  <wp:extent cx="5638800" cy="2133600"/>
                  <wp:effectExtent l="19050" t="0" r="0" b="0"/>
                  <wp:docPr id="1" name="Рисунок 1" descr="_Pi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Pi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363" w:rsidRDefault="00327363" w:rsidP="006C1322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327363" w:rsidRDefault="00327363" w:rsidP="006C1322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327363" w:rsidRDefault="00327363" w:rsidP="006C1322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327363" w:rsidRDefault="00327363" w:rsidP="006C1322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327363" w:rsidRDefault="00327363" w:rsidP="006C1322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327363" w:rsidRDefault="00327363" w:rsidP="006C1322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327363" w:rsidRDefault="00327363" w:rsidP="006C1322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327363" w:rsidRDefault="00327363" w:rsidP="006C1322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327363" w:rsidRDefault="00327363" w:rsidP="006C1322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327363" w:rsidRPr="00327363" w:rsidRDefault="00327363" w:rsidP="006C1322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ИНСТРУКЦИЯ №</w:t>
            </w:r>
            <w:r w:rsidRPr="00327363">
              <w:rPr>
                <w:rFonts w:ascii="Times New Roman" w:hAnsi="Times New Roman"/>
                <w:b/>
                <w:sz w:val="28"/>
              </w:rPr>
              <w:t xml:space="preserve">  9</w:t>
            </w:r>
          </w:p>
          <w:p w:rsidR="00327363" w:rsidRDefault="00327363" w:rsidP="006C1322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327363" w:rsidRDefault="00327363" w:rsidP="006C1322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ПО ОХРАНЕ ТРУДА </w:t>
            </w:r>
          </w:p>
          <w:p w:rsidR="00327363" w:rsidRDefault="00327363" w:rsidP="006C1322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>оператора ПЭВМ</w:t>
            </w:r>
          </w:p>
          <w:p w:rsidR="00327363" w:rsidRDefault="00327363" w:rsidP="006C1322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327363" w:rsidRDefault="00327363" w:rsidP="006C1322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327363" w:rsidRDefault="00327363" w:rsidP="006C1322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327363" w:rsidRDefault="00327363" w:rsidP="006C1322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327363" w:rsidRDefault="00327363" w:rsidP="006C1322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327363" w:rsidRDefault="00327363" w:rsidP="006C1322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327363" w:rsidRDefault="00327363" w:rsidP="006C1322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327363" w:rsidRDefault="00327363" w:rsidP="006C1322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327363" w:rsidRDefault="00327363" w:rsidP="006C1322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327363" w:rsidRDefault="00327363" w:rsidP="006C1322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27363" w:rsidRDefault="00327363" w:rsidP="006C1322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27363" w:rsidRDefault="00327363" w:rsidP="006C1322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27363" w:rsidRDefault="00327363" w:rsidP="006C1322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27363" w:rsidRDefault="00327363" w:rsidP="006C1322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27363" w:rsidRDefault="00327363" w:rsidP="006C1322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Мэрия городского округа Тольятти</w:t>
            </w:r>
          </w:p>
        </w:tc>
      </w:tr>
    </w:tbl>
    <w:p w:rsidR="00327363" w:rsidRDefault="00327363" w:rsidP="00327363">
      <w:pPr>
        <w:numPr>
          <w:ilvl w:val="0"/>
          <w:numId w:val="3"/>
        </w:numPr>
        <w:spacing w:after="120"/>
        <w:ind w:left="1077"/>
        <w:jc w:val="center"/>
        <w:rPr>
          <w:b/>
        </w:rPr>
      </w:pPr>
      <w:r>
        <w:rPr>
          <w:b/>
        </w:rPr>
        <w:lastRenderedPageBreak/>
        <w:t>Общие требования безопасности.</w:t>
      </w:r>
    </w:p>
    <w:p w:rsidR="00327363" w:rsidRDefault="00327363" w:rsidP="00327363">
      <w:pPr>
        <w:numPr>
          <w:ilvl w:val="1"/>
          <w:numId w:val="1"/>
        </w:numPr>
      </w:pPr>
      <w:r>
        <w:t>К работам с применением персональных электронно-вычислительных машин (ПЭВМ) допускаются лица:</w:t>
      </w:r>
    </w:p>
    <w:p w:rsidR="00327363" w:rsidRDefault="00327363" w:rsidP="00327363">
      <w:pPr>
        <w:numPr>
          <w:ilvl w:val="0"/>
          <w:numId w:val="2"/>
        </w:numPr>
      </w:pPr>
      <w:r>
        <w:t xml:space="preserve">прошедшие обязательные </w:t>
      </w:r>
      <w:proofErr w:type="gramStart"/>
      <w:r>
        <w:t>предварительный</w:t>
      </w:r>
      <w:proofErr w:type="gramEnd"/>
      <w:r>
        <w:t>, при приеме на работу и ежегодные медицинские осмотры и не имеющие медицинских противопоказаний для работы с ПЭВМ;</w:t>
      </w:r>
    </w:p>
    <w:p w:rsidR="00327363" w:rsidRDefault="00327363" w:rsidP="00327363">
      <w:pPr>
        <w:numPr>
          <w:ilvl w:val="0"/>
          <w:numId w:val="2"/>
        </w:numPr>
      </w:pPr>
      <w:proofErr w:type="gramStart"/>
      <w:r>
        <w:t>прошедшие</w:t>
      </w:r>
      <w:proofErr w:type="gramEnd"/>
      <w:r>
        <w:t xml:space="preserve"> вводный инструктаж по охране труда и первичный инструктаж на рабочем месте;</w:t>
      </w:r>
    </w:p>
    <w:p w:rsidR="00327363" w:rsidRDefault="00327363" w:rsidP="00327363">
      <w:pPr>
        <w:numPr>
          <w:ilvl w:val="0"/>
          <w:numId w:val="2"/>
        </w:numPr>
      </w:pPr>
      <w:proofErr w:type="gramStart"/>
      <w:r>
        <w:t xml:space="preserve">прошедшие инструктаж по </w:t>
      </w:r>
      <w:proofErr w:type="spellStart"/>
      <w:r>
        <w:t>электробезопасности</w:t>
      </w:r>
      <w:proofErr w:type="spellEnd"/>
      <w:r>
        <w:t xml:space="preserve"> с присвоением 1-й квалификационной группы;</w:t>
      </w:r>
      <w:proofErr w:type="gramEnd"/>
    </w:p>
    <w:p w:rsidR="00327363" w:rsidRDefault="00327363" w:rsidP="00327363">
      <w:pPr>
        <w:numPr>
          <w:ilvl w:val="0"/>
          <w:numId w:val="2"/>
        </w:numPr>
      </w:pPr>
      <w:r>
        <w:t>прошедшие курс обучения принципам работы с вычислительной техникой и специальное обучение работе на ПЭВМ с использованием конкретного программного обеспечения;</w:t>
      </w:r>
    </w:p>
    <w:p w:rsidR="00327363" w:rsidRDefault="00327363" w:rsidP="00327363">
      <w:pPr>
        <w:numPr>
          <w:ilvl w:val="0"/>
          <w:numId w:val="2"/>
        </w:numPr>
      </w:pPr>
      <w:r>
        <w:t>ознакомленные с инструкциями по эксплуатации на используемые на рабочем месте средства оргтехники (собственно ПЭВМ, принтеры, сканеры, источники бесперебойного питания и т.п.).</w:t>
      </w:r>
    </w:p>
    <w:p w:rsidR="00327363" w:rsidRDefault="00327363" w:rsidP="00327363">
      <w:pPr>
        <w:numPr>
          <w:ilvl w:val="1"/>
          <w:numId w:val="1"/>
        </w:numPr>
        <w:rPr>
          <w:rStyle w:val="a8"/>
          <w:b w:val="0"/>
        </w:rPr>
      </w:pPr>
      <w:r>
        <w:t>К работе на ПЭВМ не допускаются женщины со времени установления беременности или для них ограничивается время работы с ПЭВМ (не более 3-х часов за рабочую смену), при условии соблюдения гигиенических требований, установленных Санитарными правилами</w:t>
      </w:r>
      <w:r>
        <w:rPr>
          <w:rStyle w:val="a8"/>
        </w:rPr>
        <w:t xml:space="preserve"> </w:t>
      </w:r>
    </w:p>
    <w:p w:rsidR="00327363" w:rsidRDefault="00327363" w:rsidP="00327363">
      <w:pPr>
        <w:numPr>
          <w:ilvl w:val="1"/>
          <w:numId w:val="1"/>
        </w:numPr>
        <w:jc w:val="both"/>
      </w:pPr>
      <w:r>
        <w:t>Основными вредными производственными факторами, сопровождающими работы с использованием  ПЭВМ, являются:</w:t>
      </w:r>
    </w:p>
    <w:p w:rsidR="00327363" w:rsidRDefault="00327363" w:rsidP="00327363">
      <w:pPr>
        <w:numPr>
          <w:ilvl w:val="0"/>
          <w:numId w:val="4"/>
        </w:numPr>
        <w:jc w:val="both"/>
      </w:pPr>
      <w:r>
        <w:t>статическое электричество</w:t>
      </w:r>
      <w:r>
        <w:rPr>
          <w:lang w:val="en-US"/>
        </w:rPr>
        <w:t>;</w:t>
      </w:r>
    </w:p>
    <w:p w:rsidR="00327363" w:rsidRDefault="00327363" w:rsidP="00327363">
      <w:pPr>
        <w:numPr>
          <w:ilvl w:val="0"/>
          <w:numId w:val="4"/>
        </w:numPr>
        <w:jc w:val="both"/>
      </w:pPr>
      <w:r>
        <w:t>низкочастотные электрические и магнитные поля;</w:t>
      </w:r>
    </w:p>
    <w:p w:rsidR="00327363" w:rsidRDefault="00327363" w:rsidP="00327363">
      <w:pPr>
        <w:numPr>
          <w:ilvl w:val="0"/>
          <w:numId w:val="4"/>
        </w:numPr>
        <w:jc w:val="both"/>
      </w:pPr>
      <w:r>
        <w:t>ионизация воздуха;</w:t>
      </w:r>
    </w:p>
    <w:p w:rsidR="00327363" w:rsidRDefault="00327363" w:rsidP="00327363">
      <w:pPr>
        <w:numPr>
          <w:ilvl w:val="0"/>
          <w:numId w:val="4"/>
        </w:numPr>
        <w:jc w:val="both"/>
      </w:pPr>
      <w:r>
        <w:t>напряжение зрения и внимания</w:t>
      </w:r>
      <w:r>
        <w:rPr>
          <w:lang w:val="en-US"/>
        </w:rPr>
        <w:t>;</w:t>
      </w:r>
    </w:p>
    <w:p w:rsidR="00327363" w:rsidRDefault="00327363" w:rsidP="00327363">
      <w:pPr>
        <w:numPr>
          <w:ilvl w:val="0"/>
          <w:numId w:val="4"/>
        </w:numPr>
        <w:jc w:val="both"/>
      </w:pPr>
      <w:r>
        <w:t>монотонность труда, малоподвижное состояние.</w:t>
      </w:r>
    </w:p>
    <w:p w:rsidR="00327363" w:rsidRDefault="00327363" w:rsidP="00327363">
      <w:pPr>
        <w:numPr>
          <w:ilvl w:val="0"/>
          <w:numId w:val="4"/>
        </w:numPr>
        <w:jc w:val="both"/>
      </w:pPr>
      <w:r>
        <w:t>вредные химические вещества, выделяемые при работе принтеров и копировальной техники;</w:t>
      </w:r>
    </w:p>
    <w:p w:rsidR="00327363" w:rsidRDefault="00327363" w:rsidP="00327363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</w:rPr>
      </w:pPr>
      <w:r>
        <w:rPr>
          <w:b/>
        </w:rPr>
        <w:t>Требования к организации режима труда и отдыха оператора ПЭВМ</w:t>
      </w:r>
    </w:p>
    <w:p w:rsidR="00327363" w:rsidRDefault="00327363" w:rsidP="00327363">
      <w:pPr>
        <w:numPr>
          <w:ilvl w:val="1"/>
          <w:numId w:val="1"/>
        </w:numPr>
        <w:spacing w:before="120"/>
        <w:jc w:val="both"/>
      </w:pPr>
      <w:r>
        <w:t>Оператор ПЭВМ должен выполнять требования по режиму труда и отдыха на работах с использованием ПЭВМ.</w:t>
      </w:r>
    </w:p>
    <w:p w:rsidR="00327363" w:rsidRDefault="00327363" w:rsidP="00327363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Для предупреждения преждевременной утомляемости оператору ПЭВМ рекомендуется организовывать рабочую смену путем чередования работ с использованием ПЭВМ и без него.</w:t>
      </w:r>
    </w:p>
    <w:p w:rsidR="00327363" w:rsidRDefault="00327363" w:rsidP="00327363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При исключении возможности периодического переключения на другие виды трудовой деятельности, не связанные с ПЭВМ, рекомендуется организация перерывов на 10 - 15 мин. через каждые 45 - 60 мин. работы.</w:t>
      </w:r>
    </w:p>
    <w:p w:rsidR="00327363" w:rsidRDefault="00327363" w:rsidP="00327363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Продолжительность непрерывной работы на ПЭВМ без регламентированного перерыва не должна превышать 1 ч.</w:t>
      </w:r>
    </w:p>
    <w:p w:rsidR="00327363" w:rsidRDefault="00327363" w:rsidP="00327363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предотвращения развития </w:t>
      </w:r>
      <w:proofErr w:type="spellStart"/>
      <w:r>
        <w:t>позотонического</w:t>
      </w:r>
      <w:proofErr w:type="spellEnd"/>
      <w:r>
        <w:t xml:space="preserve"> утомления целесообразно выполнять комплексы упражнений.</w:t>
      </w:r>
    </w:p>
    <w:p w:rsidR="00327363" w:rsidRPr="00D04B8B" w:rsidRDefault="00327363" w:rsidP="00327363">
      <w:pPr>
        <w:autoSpaceDE w:val="0"/>
        <w:autoSpaceDN w:val="0"/>
        <w:adjustRightInd w:val="0"/>
        <w:jc w:val="both"/>
      </w:pPr>
    </w:p>
    <w:p w:rsidR="00327363" w:rsidRPr="00D04B8B" w:rsidRDefault="00327363" w:rsidP="00327363">
      <w:pPr>
        <w:autoSpaceDE w:val="0"/>
        <w:autoSpaceDN w:val="0"/>
        <w:adjustRightInd w:val="0"/>
        <w:jc w:val="both"/>
      </w:pPr>
    </w:p>
    <w:p w:rsidR="00327363" w:rsidRDefault="00327363" w:rsidP="00327363">
      <w:pPr>
        <w:autoSpaceDE w:val="0"/>
        <w:autoSpaceDN w:val="0"/>
        <w:adjustRightInd w:val="0"/>
        <w:jc w:val="both"/>
      </w:pPr>
    </w:p>
    <w:p w:rsidR="00327363" w:rsidRDefault="00327363" w:rsidP="00327363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</w:rPr>
      </w:pPr>
      <w:r>
        <w:rPr>
          <w:b/>
        </w:rPr>
        <w:lastRenderedPageBreak/>
        <w:t>Требования к ПЭВМ</w:t>
      </w:r>
    </w:p>
    <w:p w:rsidR="00327363" w:rsidRDefault="00327363" w:rsidP="00327363">
      <w:pPr>
        <w:numPr>
          <w:ilvl w:val="1"/>
          <w:numId w:val="1"/>
        </w:numPr>
        <w:jc w:val="both"/>
      </w:pPr>
      <w:r>
        <w:t>ПЭВМ должны соответствовать требованиям Санитарных правил.</w:t>
      </w:r>
    </w:p>
    <w:p w:rsidR="00327363" w:rsidRDefault="00327363" w:rsidP="00327363">
      <w:pPr>
        <w:numPr>
          <w:ilvl w:val="1"/>
          <w:numId w:val="1"/>
        </w:numPr>
        <w:jc w:val="both"/>
      </w:pPr>
      <w:r>
        <w:t>Концентрации вредных веществ, выделяемых ПЭВМ в воздух помещений, не должны превышать предельно допустимых концентраций (ПДК), установленных для атмосферного воздуха.</w:t>
      </w:r>
    </w:p>
    <w:p w:rsidR="00327363" w:rsidRDefault="00327363" w:rsidP="00327363">
      <w:pPr>
        <w:numPr>
          <w:ilvl w:val="1"/>
          <w:numId w:val="1"/>
        </w:numPr>
        <w:jc w:val="both"/>
      </w:pPr>
      <w:r>
        <w:t xml:space="preserve">Мощность экспозиционной дозы мягкого рентгеновского излучения в любой точке на расстоянии 0,05 м от экрана и корпуса ВДТ (на электронно-лучевой трубке) при любых положениях регулировочных устройств не должна превышать 1 </w:t>
      </w:r>
      <w:proofErr w:type="spellStart"/>
      <w:r>
        <w:t>мкЗв</w:t>
      </w:r>
      <w:proofErr w:type="spellEnd"/>
      <w:r>
        <w:t xml:space="preserve">/час (100 </w:t>
      </w:r>
      <w:proofErr w:type="spellStart"/>
      <w:r>
        <w:t>мкР</w:t>
      </w:r>
      <w:proofErr w:type="spellEnd"/>
      <w:r>
        <w:t>/час).</w:t>
      </w:r>
    </w:p>
    <w:p w:rsidR="00327363" w:rsidRDefault="00327363" w:rsidP="00327363">
      <w:pPr>
        <w:numPr>
          <w:ilvl w:val="1"/>
          <w:numId w:val="1"/>
        </w:numPr>
        <w:jc w:val="both"/>
      </w:pPr>
      <w:r>
        <w:t>Конструкция ПЭВМ должна обеспечивать возможность поворота корпуса в горизонтальной и вертикальной плоскости с фиксацией в заданном положении для обеспечения фронтального наблюдения экрана ВДТ. Дизайн ПЭВМ должен предусматривать окраску корпуса в спокойные мягкие тона с диффузным рассеиванием света. Корпус ПЭВМ, клавиатура и другие блоки и устройства ПЭВМ должны иметь матовую поверхность с коэффициентом отражения 0,4 - 0,6 и не иметь блестящих деталей, способных создавать блики.</w:t>
      </w:r>
    </w:p>
    <w:p w:rsidR="00327363" w:rsidRDefault="00327363" w:rsidP="00327363">
      <w:pPr>
        <w:numPr>
          <w:ilvl w:val="1"/>
          <w:numId w:val="1"/>
        </w:numPr>
        <w:jc w:val="both"/>
      </w:pPr>
      <w:r>
        <w:t>Конструкция ВДТ должна предусматривать регулирование яркости и контрастности.</w:t>
      </w:r>
    </w:p>
    <w:p w:rsidR="00327363" w:rsidRDefault="00327363" w:rsidP="00327363">
      <w:pPr>
        <w:jc w:val="both"/>
      </w:pPr>
    </w:p>
    <w:p w:rsidR="00327363" w:rsidRDefault="00327363" w:rsidP="00327363">
      <w:pPr>
        <w:numPr>
          <w:ilvl w:val="0"/>
          <w:numId w:val="1"/>
        </w:numPr>
        <w:spacing w:after="120"/>
        <w:ind w:left="357" w:hanging="357"/>
        <w:jc w:val="center"/>
        <w:rPr>
          <w:b/>
        </w:rPr>
      </w:pPr>
      <w:r>
        <w:rPr>
          <w:b/>
        </w:rPr>
        <w:t>Требования к помещениям для работы с ПЭВМ</w:t>
      </w:r>
    </w:p>
    <w:p w:rsidR="00327363" w:rsidRDefault="00327363" w:rsidP="00327363">
      <w:pPr>
        <w:numPr>
          <w:ilvl w:val="1"/>
          <w:numId w:val="1"/>
        </w:numPr>
      </w:pPr>
      <w:r>
        <w:t>Помещения для эксплуатации ПЭВМ должны иметь естественное и искусственное освещение. Эксплуатация ПЭВМ в помещениях без естественного освещения допускается только при соответствующем обосновании и наличии положительного санитарно-эпидемиологического заключения, выданного в установленном порядке.</w:t>
      </w:r>
    </w:p>
    <w:p w:rsidR="00327363" w:rsidRDefault="00327363" w:rsidP="00327363">
      <w:pPr>
        <w:numPr>
          <w:ilvl w:val="1"/>
          <w:numId w:val="1"/>
        </w:numPr>
      </w:pPr>
      <w:r>
        <w:t>Естественное и искусственное освещение должно соответствовать требованиям действующей нормативной документации. Окна в помещениях, где эксплуатируется вычислительная техника, преимущественно должны быть ориентированы на север и северо-восток. Оконные проемы должны быть оборудованы регулируемыми устройствами типа: жалюзи, занавесей, внешних козырьков и др.</w:t>
      </w:r>
    </w:p>
    <w:p w:rsidR="00327363" w:rsidRDefault="00327363" w:rsidP="00327363">
      <w:pPr>
        <w:numPr>
          <w:ilvl w:val="1"/>
          <w:numId w:val="1"/>
        </w:numPr>
        <w:jc w:val="both"/>
      </w:pPr>
      <w:r>
        <w:t>Площадь на одно рабочее место пользователей ПЭВМ с ВДТ на базе электронно-лучевой трубки (ЭЛТ) должна составлять не менее 6 м</w:t>
      </w:r>
      <w:proofErr w:type="gramStart"/>
      <w:r>
        <w:t>2</w:t>
      </w:r>
      <w:proofErr w:type="gramEnd"/>
      <w:r>
        <w:t xml:space="preserve"> и с ВДТ на базе плоских дискретных экранов (жидкокристаллические, плазменные) - 4,5 м2. При использовании ПВЭМ с ВДТ на базе ЭЛТ (без вспомогательных устройств - принтер, сканер и др.), отвечающих требованиям международных стандартов безопасности компьютеров, с продолжительностью работы менее 4-х часов в день допускается минимальная площадь 4,5 м</w:t>
      </w:r>
      <w:proofErr w:type="gramStart"/>
      <w:r>
        <w:t>2</w:t>
      </w:r>
      <w:proofErr w:type="gramEnd"/>
      <w:r>
        <w:t xml:space="preserve"> на одно рабочее место пользователя</w:t>
      </w:r>
    </w:p>
    <w:p w:rsidR="00327363" w:rsidRDefault="00327363" w:rsidP="00327363">
      <w:pPr>
        <w:numPr>
          <w:ilvl w:val="1"/>
          <w:numId w:val="1"/>
        </w:numPr>
        <w:jc w:val="both"/>
      </w:pPr>
      <w:r>
        <w:t>Для внутренней отделки интерьера помещений, где расположены ПЭВМ, должны использоваться диффузно отражающие материалы с коэффициентом отражения для потолка - 0,7 - 0,8; для стен - 0,5 - 0,6; для пола - 0,3 - 0,5.</w:t>
      </w:r>
    </w:p>
    <w:p w:rsidR="00327363" w:rsidRDefault="00327363" w:rsidP="00327363">
      <w:pPr>
        <w:numPr>
          <w:ilvl w:val="1"/>
          <w:numId w:val="1"/>
        </w:numPr>
        <w:jc w:val="both"/>
      </w:pPr>
      <w:r>
        <w:t>Полимерные материалы используются для внутренней отделки интерьера помещений с ПЭВМ при наличии санитарно-эпидемиологического заключения.</w:t>
      </w:r>
    </w:p>
    <w:p w:rsidR="00327363" w:rsidRDefault="00327363" w:rsidP="00327363">
      <w:pPr>
        <w:numPr>
          <w:ilvl w:val="1"/>
          <w:numId w:val="1"/>
        </w:numPr>
        <w:jc w:val="both"/>
      </w:pPr>
      <w:r>
        <w:t>Помещения, где размещаются рабочие места с ПЭВМ, должны быть оборудованы защитным заземлением (</w:t>
      </w:r>
      <w:proofErr w:type="spellStart"/>
      <w:r>
        <w:t>занулением</w:t>
      </w:r>
      <w:proofErr w:type="spellEnd"/>
      <w:r>
        <w:t>) в соответствии с техническими требованиями по эксплуатации.</w:t>
      </w:r>
    </w:p>
    <w:p w:rsidR="00327363" w:rsidRDefault="00327363" w:rsidP="00327363">
      <w:pPr>
        <w:numPr>
          <w:ilvl w:val="1"/>
          <w:numId w:val="1"/>
        </w:numPr>
        <w:jc w:val="both"/>
      </w:pPr>
      <w:r>
        <w:t>Не следует размещать рабочие места с ПЭВМ вблизи силовых кабелей и вводов, высоковольтных трансформаторов, технологического оборудования, создающего помехи в работе ПЭВМ.</w:t>
      </w:r>
    </w:p>
    <w:p w:rsidR="00327363" w:rsidRDefault="00327363" w:rsidP="00327363">
      <w:pPr>
        <w:jc w:val="both"/>
      </w:pPr>
    </w:p>
    <w:p w:rsidR="00327363" w:rsidRDefault="00327363" w:rsidP="00327363">
      <w:pPr>
        <w:jc w:val="both"/>
      </w:pPr>
    </w:p>
    <w:p w:rsidR="00327363" w:rsidRDefault="00327363" w:rsidP="00327363">
      <w:pPr>
        <w:jc w:val="both"/>
      </w:pPr>
    </w:p>
    <w:p w:rsidR="00327363" w:rsidRDefault="00327363" w:rsidP="00327363">
      <w:pPr>
        <w:numPr>
          <w:ilvl w:val="0"/>
          <w:numId w:val="1"/>
        </w:numPr>
        <w:spacing w:after="120"/>
        <w:ind w:left="357" w:hanging="357"/>
        <w:jc w:val="center"/>
        <w:rPr>
          <w:b/>
        </w:rPr>
      </w:pPr>
      <w:r>
        <w:rPr>
          <w:b/>
        </w:rPr>
        <w:lastRenderedPageBreak/>
        <w:t>Требования к микроклимату на рабочих местах, оборудованных ПЭВМ</w:t>
      </w:r>
    </w:p>
    <w:p w:rsidR="00327363" w:rsidRDefault="00327363" w:rsidP="00327363">
      <w:pPr>
        <w:numPr>
          <w:ilvl w:val="1"/>
          <w:numId w:val="1"/>
        </w:numPr>
        <w:spacing w:after="240"/>
      </w:pPr>
      <w:r>
        <w:t>В помещениях, в которых осуществляется работа на ПЭВМ, должны быть обеспечены оптимальные параметры микроклимата, приведенные в таблице.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559"/>
        <w:gridCol w:w="1701"/>
        <w:gridCol w:w="1764"/>
        <w:gridCol w:w="1355"/>
      </w:tblGrid>
      <w:tr w:rsidR="00327363" w:rsidTr="006C1322">
        <w:tblPrEx>
          <w:tblCellMar>
            <w:top w:w="0" w:type="dxa"/>
            <w:bottom w:w="0" w:type="dxa"/>
          </w:tblCellMar>
        </w:tblPrEx>
        <w:tc>
          <w:tcPr>
            <w:tcW w:w="1526" w:type="dxa"/>
            <w:vAlign w:val="center"/>
          </w:tcPr>
          <w:p w:rsidR="00327363" w:rsidRDefault="00327363" w:rsidP="006C1322">
            <w:pPr>
              <w:jc w:val="center"/>
            </w:pPr>
            <w:r>
              <w:t>Период года</w:t>
            </w:r>
          </w:p>
        </w:tc>
        <w:tc>
          <w:tcPr>
            <w:tcW w:w="1559" w:type="dxa"/>
            <w:vAlign w:val="center"/>
          </w:tcPr>
          <w:p w:rsidR="00327363" w:rsidRDefault="00327363" w:rsidP="006C1322">
            <w:pPr>
              <w:jc w:val="center"/>
            </w:pPr>
            <w:r>
              <w:t>Температура воздуха,                             °C</w:t>
            </w:r>
          </w:p>
        </w:tc>
        <w:tc>
          <w:tcPr>
            <w:tcW w:w="1701" w:type="dxa"/>
            <w:vAlign w:val="center"/>
          </w:tcPr>
          <w:p w:rsidR="00327363" w:rsidRDefault="00327363" w:rsidP="006C1322">
            <w:pPr>
              <w:jc w:val="center"/>
            </w:pPr>
            <w:r>
              <w:t>Температура поверхностей,</w:t>
            </w:r>
          </w:p>
          <w:p w:rsidR="00327363" w:rsidRDefault="00327363" w:rsidP="006C1322">
            <w:pPr>
              <w:jc w:val="center"/>
            </w:pPr>
            <w:r>
              <w:t>°C</w:t>
            </w:r>
          </w:p>
        </w:tc>
        <w:tc>
          <w:tcPr>
            <w:tcW w:w="1764" w:type="dxa"/>
            <w:vAlign w:val="center"/>
          </w:tcPr>
          <w:p w:rsidR="00327363" w:rsidRDefault="00327363" w:rsidP="006C1322">
            <w:pPr>
              <w:jc w:val="center"/>
            </w:pPr>
            <w:r>
              <w:t>Относительная влажность воздуха,</w:t>
            </w:r>
          </w:p>
          <w:p w:rsidR="00327363" w:rsidRDefault="00327363" w:rsidP="006C1322">
            <w:pPr>
              <w:jc w:val="center"/>
            </w:pPr>
            <w:r>
              <w:t>%</w:t>
            </w:r>
          </w:p>
        </w:tc>
        <w:tc>
          <w:tcPr>
            <w:tcW w:w="1355" w:type="dxa"/>
            <w:vAlign w:val="center"/>
          </w:tcPr>
          <w:p w:rsidR="00327363" w:rsidRDefault="00327363" w:rsidP="006C1322">
            <w:pPr>
              <w:jc w:val="center"/>
            </w:pPr>
            <w:r>
              <w:t>Скорость движения воздуха,</w:t>
            </w:r>
          </w:p>
          <w:p w:rsidR="00327363" w:rsidRDefault="00327363" w:rsidP="006C1322">
            <w:pPr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</w:tr>
      <w:tr w:rsidR="00327363" w:rsidTr="006C1322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27363" w:rsidRDefault="00327363" w:rsidP="006C1322">
            <w:r>
              <w:t>Холодный</w:t>
            </w:r>
          </w:p>
        </w:tc>
        <w:tc>
          <w:tcPr>
            <w:tcW w:w="1559" w:type="dxa"/>
            <w:vAlign w:val="center"/>
          </w:tcPr>
          <w:p w:rsidR="00327363" w:rsidRDefault="00327363" w:rsidP="006C1322">
            <w:pPr>
              <w:jc w:val="center"/>
            </w:pPr>
            <w:r>
              <w:t>21-24</w:t>
            </w:r>
          </w:p>
        </w:tc>
        <w:tc>
          <w:tcPr>
            <w:tcW w:w="1701" w:type="dxa"/>
            <w:vAlign w:val="center"/>
          </w:tcPr>
          <w:p w:rsidR="00327363" w:rsidRDefault="00327363" w:rsidP="006C1322">
            <w:pPr>
              <w:jc w:val="center"/>
            </w:pPr>
            <w:r>
              <w:t>21-25</w:t>
            </w:r>
          </w:p>
        </w:tc>
        <w:tc>
          <w:tcPr>
            <w:tcW w:w="1764" w:type="dxa"/>
            <w:vAlign w:val="center"/>
          </w:tcPr>
          <w:p w:rsidR="00327363" w:rsidRDefault="00327363" w:rsidP="006C1322">
            <w:pPr>
              <w:jc w:val="center"/>
            </w:pPr>
            <w:r>
              <w:t>60-40</w:t>
            </w:r>
          </w:p>
        </w:tc>
        <w:tc>
          <w:tcPr>
            <w:tcW w:w="1355" w:type="dxa"/>
            <w:vAlign w:val="center"/>
          </w:tcPr>
          <w:p w:rsidR="00327363" w:rsidRDefault="00327363" w:rsidP="006C1322">
            <w:pPr>
              <w:jc w:val="center"/>
            </w:pPr>
            <w:r>
              <w:t>0,1</w:t>
            </w:r>
          </w:p>
        </w:tc>
      </w:tr>
      <w:tr w:rsidR="00327363" w:rsidTr="006C1322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27363" w:rsidRDefault="00327363" w:rsidP="006C1322">
            <w:r>
              <w:t>Теплый</w:t>
            </w:r>
          </w:p>
        </w:tc>
        <w:tc>
          <w:tcPr>
            <w:tcW w:w="1559" w:type="dxa"/>
            <w:vAlign w:val="center"/>
          </w:tcPr>
          <w:p w:rsidR="00327363" w:rsidRDefault="00327363" w:rsidP="006C1322">
            <w:pPr>
              <w:jc w:val="center"/>
            </w:pPr>
            <w:r>
              <w:t>22-25</w:t>
            </w:r>
          </w:p>
        </w:tc>
        <w:tc>
          <w:tcPr>
            <w:tcW w:w="1701" w:type="dxa"/>
            <w:vAlign w:val="center"/>
          </w:tcPr>
          <w:p w:rsidR="00327363" w:rsidRDefault="00327363" w:rsidP="006C1322">
            <w:pPr>
              <w:jc w:val="center"/>
            </w:pPr>
            <w:r>
              <w:t>21-26</w:t>
            </w:r>
          </w:p>
        </w:tc>
        <w:tc>
          <w:tcPr>
            <w:tcW w:w="1764" w:type="dxa"/>
            <w:vAlign w:val="center"/>
          </w:tcPr>
          <w:p w:rsidR="00327363" w:rsidRDefault="00327363" w:rsidP="006C1322">
            <w:pPr>
              <w:jc w:val="center"/>
            </w:pPr>
            <w:r>
              <w:t>60-40</w:t>
            </w:r>
          </w:p>
        </w:tc>
        <w:tc>
          <w:tcPr>
            <w:tcW w:w="1355" w:type="dxa"/>
            <w:vAlign w:val="center"/>
          </w:tcPr>
          <w:p w:rsidR="00327363" w:rsidRDefault="00327363" w:rsidP="006C1322">
            <w:pPr>
              <w:jc w:val="center"/>
            </w:pPr>
            <w:r>
              <w:t>0,1</w:t>
            </w:r>
          </w:p>
        </w:tc>
      </w:tr>
    </w:tbl>
    <w:p w:rsidR="00327363" w:rsidRDefault="00327363" w:rsidP="00327363"/>
    <w:p w:rsidR="00327363" w:rsidRDefault="00327363" w:rsidP="00327363">
      <w:pPr>
        <w:numPr>
          <w:ilvl w:val="1"/>
          <w:numId w:val="1"/>
        </w:numPr>
        <w:jc w:val="both"/>
      </w:pPr>
      <w:r>
        <w:t>В помещениях, оборудованных ПЭВМ, проводится ежедневная влажная уборка и систематическое проветривание после каждого часа работы на ПЭВМ.</w:t>
      </w:r>
    </w:p>
    <w:p w:rsidR="00327363" w:rsidRDefault="00327363" w:rsidP="00327363">
      <w:pPr>
        <w:jc w:val="both"/>
      </w:pPr>
    </w:p>
    <w:p w:rsidR="00327363" w:rsidRDefault="00327363" w:rsidP="00327363">
      <w:pPr>
        <w:numPr>
          <w:ilvl w:val="0"/>
          <w:numId w:val="1"/>
        </w:numPr>
        <w:spacing w:after="120"/>
        <w:ind w:left="357" w:hanging="357"/>
        <w:jc w:val="center"/>
        <w:rPr>
          <w:b/>
        </w:rPr>
      </w:pPr>
      <w:r>
        <w:rPr>
          <w:b/>
        </w:rPr>
        <w:t>Требования к освещению на рабочих местах, оборудованных ПЭВМ</w:t>
      </w:r>
    </w:p>
    <w:p w:rsidR="00327363" w:rsidRDefault="00327363" w:rsidP="00327363">
      <w:pPr>
        <w:numPr>
          <w:ilvl w:val="1"/>
          <w:numId w:val="1"/>
        </w:numPr>
      </w:pPr>
      <w:r>
        <w:t xml:space="preserve">Рабочие столы следует размещать таким образом, чтобы </w:t>
      </w:r>
      <w:proofErr w:type="spellStart"/>
      <w:r>
        <w:t>видеодисплейные</w:t>
      </w:r>
      <w:proofErr w:type="spellEnd"/>
      <w:r>
        <w:t xml:space="preserve"> терминалы были ориентированы боковой стороной к световым проемам, чтобы естественный свет падал преимущественно слева.</w:t>
      </w:r>
    </w:p>
    <w:p w:rsidR="00327363" w:rsidRDefault="00327363" w:rsidP="00327363">
      <w:pPr>
        <w:numPr>
          <w:ilvl w:val="1"/>
          <w:numId w:val="1"/>
        </w:numPr>
      </w:pPr>
      <w:r>
        <w:t>Искусственное освещение в помещениях для эксплуатации ПЭВМ должно осуществляться системой общего равномерного освещения. В случаях преимущественной работы с документами, следует применять системы комбинированного освещения (к общему освещению дополнительно устанавливаются светильники местного освещения, предназначенные для освещения зоны расположения документов).</w:t>
      </w:r>
    </w:p>
    <w:p w:rsidR="00327363" w:rsidRDefault="00327363" w:rsidP="00327363">
      <w:pPr>
        <w:numPr>
          <w:ilvl w:val="1"/>
          <w:numId w:val="1"/>
        </w:numPr>
      </w:pPr>
      <w:r>
        <w:t>Освещенность на поверхности стола в зоне размещения рабочего документа должна быть 300 - 500 лк. Освещение не должно создавать бликов на поверхности экрана. Освещенность поверхности экрана не должна быть более 300 лк.</w:t>
      </w:r>
    </w:p>
    <w:p w:rsidR="00327363" w:rsidRDefault="00327363" w:rsidP="00327363">
      <w:pPr>
        <w:numPr>
          <w:ilvl w:val="1"/>
          <w:numId w:val="1"/>
        </w:numPr>
      </w:pPr>
      <w:r>
        <w:t xml:space="preserve">Следует ограничивать прямую </w:t>
      </w:r>
      <w:proofErr w:type="spellStart"/>
      <w:r>
        <w:t>блесткость</w:t>
      </w:r>
      <w:proofErr w:type="spellEnd"/>
      <w:r>
        <w:t xml:space="preserve"> от источников освещения, при этом яркость светящихся поверхностей (окна, светильники и др.), находящихся в поле зрения, должна быть не более 200 кд/м</w:t>
      </w:r>
      <w:proofErr w:type="gramStart"/>
      <w:r>
        <w:t>2</w:t>
      </w:r>
      <w:proofErr w:type="gramEnd"/>
      <w:r>
        <w:t>.</w:t>
      </w:r>
    </w:p>
    <w:p w:rsidR="00327363" w:rsidRDefault="00327363" w:rsidP="00327363">
      <w:pPr>
        <w:numPr>
          <w:ilvl w:val="1"/>
          <w:numId w:val="1"/>
        </w:numPr>
      </w:pPr>
      <w:r>
        <w:t xml:space="preserve">Следует ограничивать отраженную </w:t>
      </w:r>
      <w:proofErr w:type="spellStart"/>
      <w:r>
        <w:t>блесткость</w:t>
      </w:r>
      <w:proofErr w:type="spellEnd"/>
      <w:r>
        <w:t xml:space="preserve"> на рабочих поверхностях (экран, стол, клавиатура и др.) за счет правильного выбора типов светильников и расположения рабочих мест по отношению к источникам естественного и искусственного освещения, при этом яркость бликов на экране ПЭВМ не должна превышать 40 кд/м</w:t>
      </w:r>
      <w:proofErr w:type="gramStart"/>
      <w:r>
        <w:t>2</w:t>
      </w:r>
      <w:proofErr w:type="gramEnd"/>
      <w:r>
        <w:t xml:space="preserve"> и яркость потолка не должна превышать 200 кд/м2.</w:t>
      </w:r>
    </w:p>
    <w:p w:rsidR="00327363" w:rsidRDefault="00327363" w:rsidP="00327363">
      <w:pPr>
        <w:numPr>
          <w:ilvl w:val="1"/>
          <w:numId w:val="1"/>
        </w:numPr>
      </w:pPr>
      <w:r>
        <w:t>Светильники местного освещения должны иметь не просвечивающий отражатель с защитным углом не менее 40 градусов.</w:t>
      </w:r>
    </w:p>
    <w:p w:rsidR="00327363" w:rsidRDefault="00327363" w:rsidP="00327363">
      <w:pPr>
        <w:numPr>
          <w:ilvl w:val="1"/>
          <w:numId w:val="1"/>
        </w:numPr>
      </w:pPr>
      <w:r>
        <w:t>В качестве источников света при искусственном освещении следует применять преимущественно люминесцентные лампы типа ЛБ и компактные люминесцентные лампы (КЛЛ). В светильниках местного освещения допускается применение ламп накаливания, в том числе галогенных.</w:t>
      </w:r>
    </w:p>
    <w:p w:rsidR="00327363" w:rsidRDefault="00327363" w:rsidP="00327363">
      <w:pPr>
        <w:numPr>
          <w:ilvl w:val="1"/>
          <w:numId w:val="1"/>
        </w:numPr>
      </w:pPr>
      <w:r>
        <w:t xml:space="preserve">Применение светильников без </w:t>
      </w:r>
      <w:proofErr w:type="spellStart"/>
      <w:r>
        <w:t>рассеивателей</w:t>
      </w:r>
      <w:proofErr w:type="spellEnd"/>
      <w:r>
        <w:t xml:space="preserve"> и экранирующих решеток не допускается. </w:t>
      </w:r>
    </w:p>
    <w:p w:rsidR="00327363" w:rsidRDefault="00327363" w:rsidP="00327363">
      <w:pPr>
        <w:numPr>
          <w:ilvl w:val="1"/>
          <w:numId w:val="1"/>
        </w:numPr>
      </w:pPr>
      <w:r>
        <w:t xml:space="preserve">Общее освещение при использовании люминесцентных светильников следует выполнять в виде сплошных или прерывистых линий светильников, расположенных сбоку от рабочих мест, параллельно линии зрения пользователя при рядном расположении </w:t>
      </w:r>
      <w:proofErr w:type="spellStart"/>
      <w:r>
        <w:t>видеодисплейных</w:t>
      </w:r>
      <w:proofErr w:type="spellEnd"/>
      <w:r>
        <w:t xml:space="preserve"> терминалов. При </w:t>
      </w:r>
      <w:proofErr w:type="spellStart"/>
      <w:r>
        <w:t>периметральном</w:t>
      </w:r>
      <w:proofErr w:type="spellEnd"/>
      <w:r>
        <w:t xml:space="preserve"> расположении компьютеров линии светильников должны располагаться локализовано над рабочим столом ближе к его переднему краю, обращенному к оператору.</w:t>
      </w:r>
    </w:p>
    <w:p w:rsidR="00327363" w:rsidRDefault="00327363" w:rsidP="00327363">
      <w:pPr>
        <w:numPr>
          <w:ilvl w:val="1"/>
          <w:numId w:val="1"/>
        </w:numPr>
      </w:pPr>
      <w:r>
        <w:lastRenderedPageBreak/>
        <w:t>Для обеспечения нормируемых значений освещенности в помещениях для использования ПЭВМ следует проводить чистку стекол оконных рам и светильников не реже двух раз в год и проводить своевременную замену перегоревших ламп.</w:t>
      </w:r>
    </w:p>
    <w:p w:rsidR="00327363" w:rsidRDefault="00327363" w:rsidP="00327363"/>
    <w:p w:rsidR="00327363" w:rsidRDefault="00327363" w:rsidP="00327363">
      <w:pPr>
        <w:numPr>
          <w:ilvl w:val="0"/>
          <w:numId w:val="1"/>
        </w:numPr>
        <w:spacing w:after="120"/>
        <w:ind w:left="357" w:hanging="357"/>
        <w:jc w:val="center"/>
        <w:rPr>
          <w:b/>
        </w:rPr>
      </w:pPr>
      <w:r>
        <w:rPr>
          <w:b/>
        </w:rPr>
        <w:t>Требования к организации рабочих мест пользователей ПЭВМ</w:t>
      </w:r>
    </w:p>
    <w:p w:rsidR="00327363" w:rsidRDefault="00327363" w:rsidP="00327363">
      <w:pPr>
        <w:numPr>
          <w:ilvl w:val="1"/>
          <w:numId w:val="1"/>
        </w:numPr>
      </w:pPr>
      <w:r>
        <w:t>При размещении рабочих мест с ПЭВМ расстояние между рабочими столами с видеомониторами (в направлении тыла поверхности одного видеомонитора и экрана другого видеомонитора) должно быть не менее 2,0 м, а расстояние между боковыми поверхностями видеомониторов - не менее 1,2 м.</w:t>
      </w:r>
    </w:p>
    <w:p w:rsidR="00327363" w:rsidRDefault="00327363" w:rsidP="00327363">
      <w:pPr>
        <w:numPr>
          <w:ilvl w:val="1"/>
          <w:numId w:val="1"/>
        </w:numPr>
      </w:pPr>
      <w:r>
        <w:t>Экран видеомонитора должен находиться от глаз пользователя на расстоянии 600 - 700 мм, но не ближе 500 мм с учетом размеров алфавитно-цифровых знаков и символов.</w:t>
      </w:r>
    </w:p>
    <w:p w:rsidR="00327363" w:rsidRDefault="00327363" w:rsidP="00327363">
      <w:pPr>
        <w:numPr>
          <w:ilvl w:val="1"/>
          <w:numId w:val="1"/>
        </w:numPr>
      </w:pPr>
      <w:r>
        <w:t>Конструкция рабочего стола должна обеспечивать оптимальное размещение на рабочей поверхности используемого оборудования с учетом его количества и конструктивных особенностей, характера выполняемой работы. Поверхность рабочего стола должна иметь коэффициент отражения 0,5 - 0,7.</w:t>
      </w:r>
    </w:p>
    <w:p w:rsidR="00327363" w:rsidRDefault="00327363" w:rsidP="00327363">
      <w:pPr>
        <w:numPr>
          <w:ilvl w:val="1"/>
          <w:numId w:val="1"/>
        </w:numPr>
      </w:pPr>
      <w:r>
        <w:t>Рабочий стол должен иметь пространство для ног высотой не менее 600 мм, шириной - не менее 500 мм, глубиной на уровне колен - не менее 450 мм и на уровне вытянутых ног - не менее 650 мм.</w:t>
      </w:r>
    </w:p>
    <w:p w:rsidR="00327363" w:rsidRDefault="00327363" w:rsidP="00327363">
      <w:pPr>
        <w:numPr>
          <w:ilvl w:val="1"/>
          <w:numId w:val="1"/>
        </w:numPr>
      </w:pPr>
      <w:r>
        <w:t>Конструкция рабочего стула (кресла) должна обеспечивать поддержание рациональной рабочей позы при работе на ПЭВМ, позволять изменять позу с целью снижения статического напряжения мышц шейно-плечевой области и спины для предупреждения развития утомления. Тип рабочего стула (кресла) следует выбирать с учетом роста пользователя, характера и продолжительности работы с ПЭВМ. Рабочий стул (кресло) должен быть подъемно-поворотным, регулируемым по высоте и углам наклона сиденья и спинки, а также расстоянию спинки от переднего края сиденья, при этом регулировка каждого параметра должна быть независимой, легко осуществляемой и иметь надежную фиксацию.</w:t>
      </w:r>
    </w:p>
    <w:p w:rsidR="00327363" w:rsidRDefault="00327363" w:rsidP="00327363">
      <w:pPr>
        <w:numPr>
          <w:ilvl w:val="1"/>
          <w:numId w:val="1"/>
        </w:numPr>
      </w:pPr>
      <w:r>
        <w:t>Поверхность сиденья, спинки и других элементов стула (кресла) должна быть полумягкой, с нескользящим, слабо электризующимся и воздухопроницаемым покрытием, обеспечивающим легкую очистку от загрязнений.</w:t>
      </w:r>
    </w:p>
    <w:p w:rsidR="00327363" w:rsidRDefault="00327363" w:rsidP="00327363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Конструкция рабочего стула должна обеспечивать:</w:t>
      </w:r>
    </w:p>
    <w:p w:rsidR="00327363" w:rsidRDefault="00327363" w:rsidP="0032736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ширину и глубину поверхности сиденья не менее 400 мм;</w:t>
      </w:r>
    </w:p>
    <w:p w:rsidR="00327363" w:rsidRDefault="00327363" w:rsidP="0032736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поверхность сиденья с закругленным передним краем;</w:t>
      </w:r>
    </w:p>
    <w:p w:rsidR="00327363" w:rsidRDefault="00327363" w:rsidP="0032736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регулировку высоты поверхности сиденья в пределах 400 - 550 мм и углам наклона вперед до 15 град. и назад до 5 град.;</w:t>
      </w:r>
    </w:p>
    <w:p w:rsidR="00327363" w:rsidRDefault="00327363" w:rsidP="0032736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высоту опорной поверхности спинки 300 +/- 20 мм, ширину - не менее 380 мм и радиус кривизны горизонтальной плоскости - 400 мм;</w:t>
      </w:r>
    </w:p>
    <w:p w:rsidR="00327363" w:rsidRDefault="00327363" w:rsidP="0032736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угол наклона спинки в вертикальной плоскости в пределах +/- 30 градусов;</w:t>
      </w:r>
    </w:p>
    <w:p w:rsidR="00327363" w:rsidRDefault="00327363" w:rsidP="0032736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регулировку расстояния спинки от переднего края сиденья в пределах 260 - 400 мм;</w:t>
      </w:r>
    </w:p>
    <w:p w:rsidR="00327363" w:rsidRDefault="00327363" w:rsidP="0032736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стационарные или съемные подлокотники длиной не менее 250 мм и шириной - 50-70 мм;</w:t>
      </w:r>
    </w:p>
    <w:p w:rsidR="00327363" w:rsidRDefault="00327363" w:rsidP="0032736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регулировку подлокотников по высоте над сиденьем в пределах 230 +/- 30 мм и внутреннего расстояния между подлокотниками в пределах 350 - 500 мм.</w:t>
      </w:r>
    </w:p>
    <w:p w:rsidR="00327363" w:rsidRDefault="00327363" w:rsidP="00327363">
      <w:pPr>
        <w:numPr>
          <w:ilvl w:val="1"/>
          <w:numId w:val="1"/>
        </w:numPr>
        <w:rPr>
          <w:b/>
        </w:rPr>
      </w:pPr>
      <w:proofErr w:type="gramStart"/>
      <w:r>
        <w:t>Рабочее место пользователя ПЭВМ следует оборудовать подставкой для ног, имеющей ширину не менее 300 мм, глубину не менее 400 мм, регулировку по высоте в пределах до 150 мм и по углу наклона опорной поверхности подставки до 20 град. Поверхность подставки должна быть рифленой и иметь по переднему краю бортик высотой 10 мм.</w:t>
      </w:r>
      <w:proofErr w:type="gramEnd"/>
    </w:p>
    <w:p w:rsidR="00327363" w:rsidRDefault="00327363" w:rsidP="00327363">
      <w:pPr>
        <w:numPr>
          <w:ilvl w:val="1"/>
          <w:numId w:val="1"/>
        </w:numPr>
        <w:rPr>
          <w:b/>
        </w:rPr>
      </w:pPr>
      <w:r>
        <w:lastRenderedPageBreak/>
        <w:t>Клавиатуру следует располагать на поверхности стола на расстоянии 100 - 300 мм от края, обращенного к пользователю, или на специальной, регулируемой по высоте рабочей поверхности, отделенной от основной столешницы.</w:t>
      </w:r>
    </w:p>
    <w:p w:rsidR="00327363" w:rsidRDefault="00327363" w:rsidP="00327363">
      <w:pPr>
        <w:rPr>
          <w:b/>
        </w:rPr>
      </w:pPr>
    </w:p>
    <w:p w:rsidR="00327363" w:rsidRDefault="00327363" w:rsidP="00327363">
      <w:pPr>
        <w:numPr>
          <w:ilvl w:val="0"/>
          <w:numId w:val="1"/>
        </w:numPr>
        <w:spacing w:after="120"/>
        <w:ind w:left="357" w:hanging="357"/>
        <w:jc w:val="center"/>
        <w:rPr>
          <w:b/>
        </w:rPr>
      </w:pPr>
      <w:r>
        <w:rPr>
          <w:b/>
        </w:rPr>
        <w:t>Требования безопасности перед началом работы</w:t>
      </w:r>
    </w:p>
    <w:p w:rsidR="00327363" w:rsidRDefault="00327363" w:rsidP="00327363">
      <w:pPr>
        <w:numPr>
          <w:ilvl w:val="1"/>
          <w:numId w:val="1"/>
        </w:numPr>
        <w:jc w:val="both"/>
      </w:pPr>
      <w:r>
        <w:t>Порядок подготовки рабочего места.</w:t>
      </w:r>
    </w:p>
    <w:p w:rsidR="00327363" w:rsidRDefault="00327363" w:rsidP="00327363">
      <w:pPr>
        <w:pStyle w:val="a6"/>
        <w:numPr>
          <w:ilvl w:val="2"/>
          <w:numId w:val="1"/>
        </w:numPr>
      </w:pPr>
      <w:r>
        <w:t>Отрегулируйте высоту рабочего стула (кресла) таким образом, чтобы нижний уровень кромки экрана дисплея находился на 200 мм ниже уровня глаз.</w:t>
      </w:r>
    </w:p>
    <w:p w:rsidR="00327363" w:rsidRDefault="00327363" w:rsidP="00327363">
      <w:pPr>
        <w:numPr>
          <w:ilvl w:val="2"/>
          <w:numId w:val="1"/>
        </w:numPr>
        <w:tabs>
          <w:tab w:val="left" w:pos="426"/>
        </w:tabs>
        <w:jc w:val="both"/>
      </w:pPr>
      <w:r>
        <w:t>Установите кресло путем поворота так, чтобы положение тела соответствовало направлению взгляда.</w:t>
      </w:r>
    </w:p>
    <w:p w:rsidR="00327363" w:rsidRDefault="00327363" w:rsidP="00327363">
      <w:pPr>
        <w:numPr>
          <w:ilvl w:val="2"/>
          <w:numId w:val="1"/>
        </w:numPr>
        <w:tabs>
          <w:tab w:val="left" w:pos="426"/>
        </w:tabs>
        <w:jc w:val="both"/>
      </w:pPr>
      <w:r>
        <w:t>Отрегулируйте спинку кресла путем поворота так, чтобы она поддерживала спину пользователя, а угол между бедрами и позвоночником составлял 90°.</w:t>
      </w:r>
    </w:p>
    <w:p w:rsidR="00327363" w:rsidRDefault="00327363" w:rsidP="00327363">
      <w:pPr>
        <w:numPr>
          <w:ilvl w:val="2"/>
          <w:numId w:val="1"/>
        </w:numPr>
        <w:tabs>
          <w:tab w:val="left" w:pos="426"/>
        </w:tabs>
        <w:jc w:val="both"/>
      </w:pPr>
      <w:r>
        <w:t>Клавиатуру установите на поверхности стола на расстоянии 10-30 см от края, обращенного к пользователю (или на специальной регулируемой по высоте рабочей поверхности, отделенной от основной столешницы).</w:t>
      </w:r>
    </w:p>
    <w:p w:rsidR="00327363" w:rsidRDefault="00327363" w:rsidP="00327363">
      <w:pPr>
        <w:numPr>
          <w:ilvl w:val="2"/>
          <w:numId w:val="1"/>
        </w:numPr>
        <w:tabs>
          <w:tab w:val="left" w:pos="426"/>
        </w:tabs>
        <w:jc w:val="both"/>
      </w:pPr>
      <w:r>
        <w:t>Кресло установите так, чтобы до клавиатуры не надо было далеко тянуться.</w:t>
      </w:r>
    </w:p>
    <w:p w:rsidR="00327363" w:rsidRDefault="00327363" w:rsidP="00327363">
      <w:pPr>
        <w:numPr>
          <w:ilvl w:val="2"/>
          <w:numId w:val="1"/>
        </w:numPr>
        <w:tabs>
          <w:tab w:val="left" w:pos="426"/>
        </w:tabs>
        <w:jc w:val="both"/>
      </w:pPr>
      <w:r>
        <w:t>Экран дисплея должен располагаться под прямым углом по отношению к окнам, а не прямо перед ними или позади них, окна целесообразно занавесить или перекрыть жалюзи.</w:t>
      </w:r>
    </w:p>
    <w:p w:rsidR="00327363" w:rsidRDefault="00327363" w:rsidP="00327363">
      <w:pPr>
        <w:numPr>
          <w:ilvl w:val="2"/>
          <w:numId w:val="1"/>
        </w:numPr>
        <w:tabs>
          <w:tab w:val="left" w:pos="426"/>
        </w:tabs>
        <w:jc w:val="both"/>
      </w:pPr>
      <w:r>
        <w:t>Высоту клавиатуры отрегулируйте так, чтобы кисть руки располагалась прямо.</w:t>
      </w:r>
    </w:p>
    <w:p w:rsidR="00327363" w:rsidRDefault="00327363" w:rsidP="00327363">
      <w:pPr>
        <w:numPr>
          <w:ilvl w:val="2"/>
          <w:numId w:val="1"/>
        </w:numPr>
        <w:tabs>
          <w:tab w:val="left" w:pos="426"/>
        </w:tabs>
        <w:jc w:val="both"/>
      </w:pPr>
      <w:r>
        <w:t>Подставку для документов (пюпитр) установите на одной плоскости с экраном дисплея и на одной с ним высоте.</w:t>
      </w:r>
    </w:p>
    <w:p w:rsidR="00327363" w:rsidRDefault="00327363" w:rsidP="00327363">
      <w:pPr>
        <w:numPr>
          <w:ilvl w:val="2"/>
          <w:numId w:val="1"/>
        </w:numPr>
        <w:tabs>
          <w:tab w:val="left" w:pos="426"/>
        </w:tabs>
        <w:jc w:val="both"/>
      </w:pPr>
      <w:r>
        <w:t xml:space="preserve">Экран дисплей должен </w:t>
      </w:r>
      <w:proofErr w:type="gramStart"/>
      <w:r>
        <w:t>находится</w:t>
      </w:r>
      <w:proofErr w:type="gramEnd"/>
      <w:r>
        <w:t xml:space="preserve"> на расстоянии 600-700 мм от глаз.</w:t>
      </w:r>
    </w:p>
    <w:p w:rsidR="00327363" w:rsidRDefault="00327363" w:rsidP="00327363">
      <w:pPr>
        <w:numPr>
          <w:ilvl w:val="2"/>
          <w:numId w:val="1"/>
        </w:numPr>
        <w:tabs>
          <w:tab w:val="left" w:pos="426"/>
        </w:tabs>
        <w:jc w:val="both"/>
      </w:pPr>
      <w:r>
        <w:t>Уровень верхней кромки экрана дисплея должен быть на высоте лба.</w:t>
      </w:r>
    </w:p>
    <w:p w:rsidR="00327363" w:rsidRDefault="00327363" w:rsidP="00327363">
      <w:pPr>
        <w:numPr>
          <w:ilvl w:val="1"/>
          <w:numId w:val="1"/>
        </w:numPr>
        <w:jc w:val="both"/>
      </w:pPr>
      <w:r>
        <w:t xml:space="preserve">Перед включением ПЭВМ проверьте визуально исправность шнура питания, штепсельной вилки, розетки, заземляющего проводника и надежность его соединения. </w:t>
      </w:r>
      <w:proofErr w:type="gramStart"/>
      <w:r>
        <w:t>Запрещается пользоваться (включать в электросеть) ПЭВМ при неисправных: шнуре (повреждении изоляции), штепсельной вилки, розетки, заземлении.</w:t>
      </w:r>
      <w:proofErr w:type="gramEnd"/>
    </w:p>
    <w:p w:rsidR="00327363" w:rsidRDefault="00327363" w:rsidP="00327363">
      <w:pPr>
        <w:numPr>
          <w:ilvl w:val="1"/>
          <w:numId w:val="1"/>
        </w:numPr>
        <w:jc w:val="both"/>
      </w:pPr>
      <w:r>
        <w:t>При включении ПЭВМ в электросеть, штепсельную вилку следует держать за корпус, не касаясь рукой ее контактов.</w:t>
      </w:r>
    </w:p>
    <w:p w:rsidR="00327363" w:rsidRDefault="00327363" w:rsidP="00327363">
      <w:pPr>
        <w:jc w:val="both"/>
      </w:pPr>
    </w:p>
    <w:p w:rsidR="00327363" w:rsidRDefault="00327363" w:rsidP="00327363">
      <w:pPr>
        <w:numPr>
          <w:ilvl w:val="0"/>
          <w:numId w:val="1"/>
        </w:numPr>
        <w:tabs>
          <w:tab w:val="left" w:pos="426"/>
        </w:tabs>
        <w:spacing w:after="120"/>
        <w:ind w:left="357" w:hanging="357"/>
        <w:jc w:val="center"/>
        <w:rPr>
          <w:b/>
        </w:rPr>
      </w:pPr>
      <w:r>
        <w:rPr>
          <w:b/>
        </w:rPr>
        <w:t>Требования безопасности во время работы</w:t>
      </w:r>
    </w:p>
    <w:p w:rsidR="00327363" w:rsidRDefault="00327363" w:rsidP="00327363">
      <w:pPr>
        <w:numPr>
          <w:ilvl w:val="1"/>
          <w:numId w:val="1"/>
        </w:numPr>
        <w:jc w:val="both"/>
      </w:pPr>
      <w:r>
        <w:t>Работу с использованием ПЭВМ осуществляйте в соответствии с техническим описанием (инструкцией по эксплуатации) на него.</w:t>
      </w:r>
    </w:p>
    <w:p w:rsidR="00327363" w:rsidRDefault="00327363" w:rsidP="00327363">
      <w:pPr>
        <w:numPr>
          <w:ilvl w:val="1"/>
          <w:numId w:val="1"/>
        </w:numPr>
        <w:jc w:val="both"/>
      </w:pPr>
      <w:r>
        <w:t xml:space="preserve">Установите регуляторами дисплея такие значения яркости и контрастности изображения, при которых обеспечивается оптимальное (комфортное) считывание информации с экрана </w:t>
      </w:r>
    </w:p>
    <w:p w:rsidR="00327363" w:rsidRDefault="00327363" w:rsidP="00327363">
      <w:pPr>
        <w:pStyle w:val="a6"/>
      </w:pPr>
      <w:r>
        <w:tab/>
        <w:t xml:space="preserve">дисплея. Не рекомендуется это делать только за счет увеличения яркости, так как это приводит к сокращению службы электронно-лучевой трубки и возможной </w:t>
      </w:r>
      <w:proofErr w:type="spellStart"/>
      <w:r>
        <w:t>расфокусировки</w:t>
      </w:r>
      <w:proofErr w:type="spellEnd"/>
      <w:r>
        <w:t xml:space="preserve"> деталей изображения.</w:t>
      </w:r>
    </w:p>
    <w:p w:rsidR="00327363" w:rsidRDefault="00327363" w:rsidP="00327363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Для предупреждения преждевременной утомляемости меняйте характер своей работы в течение рабочего дня путем чередования работ с использованием ПЭВМ и без него.</w:t>
      </w:r>
    </w:p>
    <w:p w:rsidR="00327363" w:rsidRDefault="00327363" w:rsidP="00327363">
      <w:pPr>
        <w:numPr>
          <w:ilvl w:val="1"/>
          <w:numId w:val="1"/>
        </w:numPr>
        <w:tabs>
          <w:tab w:val="clear" w:pos="420"/>
          <w:tab w:val="left" w:pos="426"/>
        </w:tabs>
        <w:jc w:val="both"/>
      </w:pPr>
      <w:r>
        <w:t>При исключении возможности периодического переключения на другие виды трудовой деятельности, не связанные с ПЭВМ, делайте перерывы на 10 - 15 мин. через каждые 45 - 60 мин. работы.</w:t>
      </w:r>
    </w:p>
    <w:p w:rsidR="00327363" w:rsidRDefault="00327363" w:rsidP="00327363">
      <w:pPr>
        <w:numPr>
          <w:ilvl w:val="1"/>
          <w:numId w:val="1"/>
        </w:numPr>
        <w:tabs>
          <w:tab w:val="clear" w:pos="420"/>
          <w:tab w:val="left" w:pos="426"/>
        </w:tabs>
        <w:jc w:val="both"/>
      </w:pPr>
      <w:r>
        <w:t xml:space="preserve">Во время регламентированных перерывов выполняйте комплексы упражнений для туловища, ног плечевого пояса и рук, кистей рук и пальцев: для улучшения мозгового кровообращения, для повышения двигательной активности, стимуляции деятельности </w:t>
      </w:r>
      <w:r>
        <w:lastRenderedPageBreak/>
        <w:t xml:space="preserve">нервной,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>, дыхательной и мышечной систем. А также упражнения для глаз с целью снижения утомления зрительного анализатора.</w:t>
      </w:r>
    </w:p>
    <w:p w:rsidR="00327363" w:rsidRDefault="00327363" w:rsidP="00327363">
      <w:pPr>
        <w:numPr>
          <w:ilvl w:val="1"/>
          <w:numId w:val="1"/>
        </w:numPr>
        <w:tabs>
          <w:tab w:val="clear" w:pos="420"/>
          <w:tab w:val="left" w:pos="426"/>
        </w:tabs>
        <w:jc w:val="both"/>
      </w:pPr>
      <w:r>
        <w:t>Во время регламентированных перерывов проветривайте помещение.</w:t>
      </w:r>
    </w:p>
    <w:p w:rsidR="00327363" w:rsidRDefault="00327363" w:rsidP="00327363">
      <w:pPr>
        <w:tabs>
          <w:tab w:val="left" w:pos="426"/>
        </w:tabs>
        <w:jc w:val="both"/>
      </w:pPr>
    </w:p>
    <w:p w:rsidR="00327363" w:rsidRDefault="00327363" w:rsidP="00327363">
      <w:pPr>
        <w:numPr>
          <w:ilvl w:val="0"/>
          <w:numId w:val="1"/>
        </w:numPr>
        <w:tabs>
          <w:tab w:val="left" w:pos="426"/>
        </w:tabs>
        <w:spacing w:after="120"/>
        <w:ind w:left="357" w:hanging="357"/>
        <w:jc w:val="center"/>
        <w:rPr>
          <w:b/>
        </w:rPr>
      </w:pPr>
      <w:r>
        <w:rPr>
          <w:b/>
        </w:rPr>
        <w:t>Требования безопасности в аварийных ситуациях</w:t>
      </w:r>
    </w:p>
    <w:p w:rsidR="00327363" w:rsidRDefault="00327363" w:rsidP="00327363">
      <w:pPr>
        <w:numPr>
          <w:ilvl w:val="1"/>
          <w:numId w:val="1"/>
        </w:numPr>
        <w:tabs>
          <w:tab w:val="clear" w:pos="420"/>
          <w:tab w:val="left" w:pos="426"/>
        </w:tabs>
        <w:jc w:val="both"/>
      </w:pPr>
      <w:r>
        <w:t>При ухудшении самочувствия прекратите работу на ПЭВМ и сообщите об этом руководителю.</w:t>
      </w:r>
    </w:p>
    <w:p w:rsidR="00327363" w:rsidRDefault="00327363" w:rsidP="00327363">
      <w:pPr>
        <w:numPr>
          <w:ilvl w:val="1"/>
          <w:numId w:val="1"/>
        </w:numPr>
        <w:tabs>
          <w:tab w:val="clear" w:pos="420"/>
          <w:tab w:val="left" w:pos="426"/>
        </w:tabs>
        <w:jc w:val="both"/>
      </w:pPr>
      <w:r>
        <w:t>При обнаружении на рабочем месте (в помещении) запаха гари, дыма искрении в разъеме «розетка - штепсель» прекратите работу, выключите ПЭВМ и сообщите об этом руководителю.</w:t>
      </w:r>
    </w:p>
    <w:p w:rsidR="00327363" w:rsidRDefault="00327363" w:rsidP="00327363">
      <w:pPr>
        <w:numPr>
          <w:ilvl w:val="1"/>
          <w:numId w:val="1"/>
        </w:numPr>
        <w:tabs>
          <w:tab w:val="clear" w:pos="420"/>
          <w:tab w:val="left" w:pos="426"/>
        </w:tabs>
        <w:jc w:val="both"/>
      </w:pPr>
      <w:r>
        <w:t>При возгорании ПЭВМ или другого оборудования сообщите об этом в пожарную часть по телефону 01, и приступайте к тушению с помощью кислотного огнетушителя (тип ОУ-5).</w:t>
      </w:r>
    </w:p>
    <w:p w:rsidR="00327363" w:rsidRDefault="00327363" w:rsidP="00327363">
      <w:pPr>
        <w:numPr>
          <w:ilvl w:val="1"/>
          <w:numId w:val="1"/>
        </w:numPr>
        <w:tabs>
          <w:tab w:val="clear" w:pos="420"/>
          <w:tab w:val="left" w:pos="426"/>
        </w:tabs>
        <w:jc w:val="both"/>
      </w:pPr>
      <w:r>
        <w:t xml:space="preserve">При </w:t>
      </w:r>
      <w:proofErr w:type="spellStart"/>
      <w:r>
        <w:t>травмировании</w:t>
      </w:r>
      <w:proofErr w:type="spellEnd"/>
      <w:r>
        <w:t>, отравлении и внезапном заболевании, в зависимости от тяжести, окажите себе или другим пострадавшим доврачебную медицинскую помощь согласно «Правилам оказания первой медицинской помощи», сообщите о происшествии руководителю. При необходимости вызовите скорую медицинскую помощь по телефону 03 или доставьте пострадавшего в ближайшее лечебное учреждение.</w:t>
      </w:r>
    </w:p>
    <w:p w:rsidR="00327363" w:rsidRDefault="00327363" w:rsidP="00327363">
      <w:pPr>
        <w:tabs>
          <w:tab w:val="left" w:pos="426"/>
        </w:tabs>
        <w:jc w:val="both"/>
      </w:pPr>
    </w:p>
    <w:p w:rsidR="00327363" w:rsidRDefault="00327363" w:rsidP="00327363">
      <w:pPr>
        <w:numPr>
          <w:ilvl w:val="0"/>
          <w:numId w:val="1"/>
        </w:numPr>
        <w:tabs>
          <w:tab w:val="left" w:pos="426"/>
        </w:tabs>
        <w:spacing w:after="120"/>
        <w:ind w:left="357" w:hanging="357"/>
        <w:jc w:val="center"/>
        <w:rPr>
          <w:b/>
        </w:rPr>
      </w:pPr>
      <w:r>
        <w:rPr>
          <w:b/>
        </w:rPr>
        <w:t>Требования безопасности по окончании работы</w:t>
      </w:r>
    </w:p>
    <w:p w:rsidR="00327363" w:rsidRDefault="00327363" w:rsidP="00327363">
      <w:pPr>
        <w:numPr>
          <w:ilvl w:val="1"/>
          <w:numId w:val="1"/>
        </w:numPr>
        <w:jc w:val="both"/>
      </w:pPr>
      <w:r>
        <w:t>По окончании работы выключить ПЭВМ И ВДТ (порядок отключения в соответствии с техническим описанием или инструкцией по эксплуатации).</w:t>
      </w:r>
    </w:p>
    <w:p w:rsidR="00327363" w:rsidRDefault="00327363" w:rsidP="00327363">
      <w:pPr>
        <w:numPr>
          <w:ilvl w:val="1"/>
          <w:numId w:val="1"/>
        </w:numPr>
        <w:jc w:val="both"/>
      </w:pPr>
      <w:r>
        <w:t>Приведите в порядок рабочее место, уберите документы, посторонние предметы.</w:t>
      </w:r>
    </w:p>
    <w:p w:rsidR="00327363" w:rsidRDefault="00327363" w:rsidP="00327363">
      <w:pPr>
        <w:numPr>
          <w:ilvl w:val="1"/>
          <w:numId w:val="1"/>
        </w:numPr>
        <w:jc w:val="both"/>
      </w:pPr>
      <w:r>
        <w:t>Сообщите руководителю подразделения обо всех обнаруженных недостатках (неполадках), обнаруженных во время работы.</w:t>
      </w:r>
    </w:p>
    <w:p w:rsidR="00327363" w:rsidRDefault="00327363" w:rsidP="00327363">
      <w:pPr>
        <w:jc w:val="both"/>
      </w:pPr>
    </w:p>
    <w:p w:rsidR="00327363" w:rsidRDefault="00327363" w:rsidP="00327363">
      <w:pPr>
        <w:numPr>
          <w:ilvl w:val="0"/>
          <w:numId w:val="1"/>
        </w:numPr>
        <w:spacing w:after="120"/>
        <w:ind w:left="357" w:hanging="357"/>
        <w:jc w:val="center"/>
        <w:rPr>
          <w:b/>
        </w:rPr>
      </w:pPr>
      <w:r>
        <w:rPr>
          <w:b/>
        </w:rPr>
        <w:t>Ответственность</w:t>
      </w:r>
    </w:p>
    <w:p w:rsidR="00327363" w:rsidRDefault="00327363" w:rsidP="00327363">
      <w:pPr>
        <w:tabs>
          <w:tab w:val="left" w:pos="426"/>
        </w:tabs>
        <w:ind w:firstLine="426"/>
        <w:jc w:val="both"/>
      </w:pPr>
      <w:r>
        <w:t>За невыполнение требований настоящей инструкции работник несет персональную ответственность согласно Правилам внутреннего распорядка и действующему законодательству Российской Федерации.</w:t>
      </w:r>
    </w:p>
    <w:p w:rsidR="00327363" w:rsidRDefault="00327363" w:rsidP="00327363">
      <w:pPr>
        <w:tabs>
          <w:tab w:val="left" w:pos="426"/>
        </w:tabs>
        <w:jc w:val="both"/>
      </w:pPr>
    </w:p>
    <w:p w:rsidR="00327363" w:rsidRDefault="00327363" w:rsidP="00327363">
      <w:pPr>
        <w:tabs>
          <w:tab w:val="left" w:pos="426"/>
        </w:tabs>
        <w:jc w:val="both"/>
      </w:pPr>
    </w:p>
    <w:p w:rsidR="00327363" w:rsidRDefault="00327363" w:rsidP="00327363">
      <w:pPr>
        <w:tabs>
          <w:tab w:val="left" w:pos="426"/>
        </w:tabs>
        <w:jc w:val="both"/>
      </w:pPr>
    </w:p>
    <w:p w:rsidR="00327363" w:rsidRDefault="00327363" w:rsidP="00327363">
      <w:pPr>
        <w:tabs>
          <w:tab w:val="left" w:pos="426"/>
        </w:tabs>
        <w:jc w:val="both"/>
      </w:pPr>
    </w:p>
    <w:p w:rsidR="00327363" w:rsidRDefault="00327363" w:rsidP="00327363">
      <w:pPr>
        <w:pStyle w:val="FR1"/>
        <w:spacing w:before="0"/>
        <w:ind w:left="0"/>
        <w:rPr>
          <w:rFonts w:ascii="Times New Roman" w:hAnsi="Times New Roman"/>
          <w:sz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29300" cy="2247900"/>
            <wp:effectExtent l="19050" t="0" r="0" b="0"/>
            <wp:docPr id="2" name="Рисунок 2" descr="_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Pic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E92" w:rsidRDefault="00875E92"/>
    <w:sectPr w:rsidR="00875E92">
      <w:headerReference w:type="even" r:id="rId7"/>
      <w:headerReference w:type="default" r:id="rId8"/>
      <w:pgSz w:w="12240" w:h="15840"/>
      <w:pgMar w:top="1135" w:right="760" w:bottom="1134" w:left="1701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A8" w:rsidRDefault="0032736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5</w:t>
    </w:r>
    <w:r>
      <w:rPr>
        <w:rStyle w:val="a3"/>
      </w:rPr>
      <w:fldChar w:fldCharType="end"/>
    </w:r>
  </w:p>
  <w:p w:rsidR="008166A8" w:rsidRDefault="0032736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A8" w:rsidRDefault="0032736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7</w:t>
    </w:r>
    <w:r>
      <w:rPr>
        <w:rStyle w:val="a3"/>
      </w:rPr>
      <w:fldChar w:fldCharType="end"/>
    </w:r>
  </w:p>
  <w:p w:rsidR="008166A8" w:rsidRDefault="003273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AD8"/>
    <w:multiLevelType w:val="hybridMultilevel"/>
    <w:tmpl w:val="1714BE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5CCB"/>
    <w:multiLevelType w:val="hybridMultilevel"/>
    <w:tmpl w:val="4FD045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8B35C7"/>
    <w:multiLevelType w:val="hybridMultilevel"/>
    <w:tmpl w:val="A2EE138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C1349C6"/>
    <w:multiLevelType w:val="hybridMultilevel"/>
    <w:tmpl w:val="43209CF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565AD9"/>
    <w:multiLevelType w:val="multilevel"/>
    <w:tmpl w:val="B598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363"/>
    <w:rsid w:val="00327363"/>
    <w:rsid w:val="0087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27363"/>
  </w:style>
  <w:style w:type="paragraph" w:styleId="a4">
    <w:name w:val="header"/>
    <w:basedOn w:val="a"/>
    <w:link w:val="a5"/>
    <w:rsid w:val="00327363"/>
    <w:pPr>
      <w:tabs>
        <w:tab w:val="center" w:pos="4153"/>
        <w:tab w:val="right" w:pos="8306"/>
      </w:tabs>
    </w:pPr>
    <w:rPr>
      <w:b/>
      <w:sz w:val="18"/>
    </w:rPr>
  </w:style>
  <w:style w:type="character" w:customStyle="1" w:styleId="a5">
    <w:name w:val="Верхний колонтитул Знак"/>
    <w:basedOn w:val="a0"/>
    <w:link w:val="a4"/>
    <w:rsid w:val="0032736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6">
    <w:name w:val="Body Text Indent"/>
    <w:basedOn w:val="a"/>
    <w:link w:val="a7"/>
    <w:rsid w:val="00327363"/>
    <w:pPr>
      <w:tabs>
        <w:tab w:val="left" w:pos="426"/>
      </w:tabs>
      <w:ind w:left="426" w:hanging="426"/>
      <w:jc w:val="both"/>
    </w:pPr>
  </w:style>
  <w:style w:type="character" w:customStyle="1" w:styleId="a7">
    <w:name w:val="Основной текст с отступом Знак"/>
    <w:basedOn w:val="a0"/>
    <w:link w:val="a6"/>
    <w:rsid w:val="003273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3273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8">
    <w:name w:val="Strong"/>
    <w:basedOn w:val="a0"/>
    <w:qFormat/>
    <w:rsid w:val="00327363"/>
    <w:rPr>
      <w:b/>
      <w:bCs/>
    </w:rPr>
  </w:style>
  <w:style w:type="paragraph" w:customStyle="1" w:styleId="FR1">
    <w:name w:val="FR1"/>
    <w:rsid w:val="00327363"/>
    <w:pPr>
      <w:widowControl w:val="0"/>
      <w:snapToGrid w:val="0"/>
      <w:spacing w:before="160" w:after="0" w:line="240" w:lineRule="auto"/>
      <w:ind w:left="5920"/>
    </w:pPr>
    <w:rPr>
      <w:rFonts w:ascii="Arial" w:eastAsia="Times New Roman" w:hAnsi="Arial" w:cs="Times New Roman"/>
      <w:sz w:val="1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73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73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2369</Words>
  <Characters>13505</Characters>
  <Application>Microsoft Office Word</Application>
  <DocSecurity>0</DocSecurity>
  <Lines>112</Lines>
  <Paragraphs>31</Paragraphs>
  <ScaleCrop>false</ScaleCrop>
  <Company>Microsoft</Company>
  <LinksUpToDate>false</LinksUpToDate>
  <CharactersWithSpaces>15843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2011-12-21T11:45:00Z</dcterms:created>
  <dcterms:modified xsi:type="dcterms:W3CDTF">2011-12-21T11:45:00Z</dcterms:modified>
</cp:coreProperties>
</file>